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18" w:lineRule="auto"/>
        <w:rPr>
          <w:rFonts w:ascii="Calibri" w:eastAsia="Calibri" w:hAnsi="Calibri" w:cs="Calibri"/>
          <w:b/>
          <w:color w:val="000000"/>
          <w:sz w:val="2"/>
          <w:szCs w:val="2"/>
        </w:rPr>
        <w:sectPr w:rsidR="00F176D9">
          <w:headerReference w:type="default" r:id="rId6"/>
          <w:pgSz w:w="11900" w:h="16820"/>
          <w:pgMar w:top="1440" w:right="734" w:bottom="1027" w:left="2225" w:header="0" w:footer="720" w:gutter="0"/>
          <w:pgNumType w:start="1"/>
          <w:cols w:num="3" w:space="720" w:equalWidth="0">
            <w:col w:w="3000" w:space="0"/>
            <w:col w:w="3000" w:space="0"/>
            <w:col w:w="3000" w:space="0"/>
          </w:cols>
        </w:sectPr>
      </w:pPr>
      <w:bookmarkStart w:id="0" w:name="_GoBack"/>
      <w:bookmarkEnd w:id="0"/>
    </w:p>
    <w:p w:rsidR="00F176D9" w:rsidRDefault="00192540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1819275</wp:posOffset>
            </wp:positionH>
            <wp:positionV relativeFrom="paragraph">
              <wp:posOffset>85725</wp:posOffset>
            </wp:positionV>
            <wp:extent cx="2114550" cy="2113915"/>
            <wp:effectExtent l="0" t="0" r="0" b="0"/>
            <wp:wrapNone/>
            <wp:docPr id="1" name="image1.jpg" descr="Littletow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ittletow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3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493" w:type="dxa"/>
        <w:tblLayout w:type="fixed"/>
        <w:tblLook w:val="0000" w:firstRow="0" w:lastRow="0" w:firstColumn="0" w:lastColumn="0" w:noHBand="0" w:noVBand="0"/>
      </w:tblPr>
      <w:tblGrid>
        <w:gridCol w:w="8493"/>
      </w:tblGrid>
      <w:tr w:rsidR="00F176D9">
        <w:trPr>
          <w:trHeight w:val="3402"/>
        </w:trPr>
        <w:tc>
          <w:tcPr>
            <w:tcW w:w="8493" w:type="dxa"/>
          </w:tcPr>
          <w:p w:rsidR="00F176D9" w:rsidRDefault="00F176D9">
            <w:pPr>
              <w:widowControl w:val="0"/>
              <w:spacing w:line="240" w:lineRule="auto"/>
              <w:jc w:val="center"/>
            </w:pPr>
          </w:p>
        </w:tc>
      </w:tr>
      <w:tr w:rsidR="00F176D9">
        <w:trPr>
          <w:trHeight w:val="2268"/>
        </w:trPr>
        <w:tc>
          <w:tcPr>
            <w:tcW w:w="8493" w:type="dxa"/>
          </w:tcPr>
          <w:p w:rsidR="00F176D9" w:rsidRDefault="00192540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 xml:space="preserve">       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>Live</w:t>
            </w:r>
            <w:r>
              <w:rPr>
                <w:rFonts w:ascii="Calibri" w:eastAsia="Calibri" w:hAnsi="Calibri" w:cs="Calibri"/>
                <w:b/>
                <w:i/>
                <w:color w:val="E06666"/>
                <w:sz w:val="80"/>
                <w:szCs w:val="80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 xml:space="preserve">Love </w:t>
            </w:r>
            <w:r>
              <w:rPr>
                <w:rFonts w:ascii="Calibri" w:eastAsia="Calibri" w:hAnsi="Calibri" w:cs="Calibri"/>
                <w:b/>
                <w:i/>
                <w:color w:val="E06666"/>
                <w:sz w:val="80"/>
                <w:szCs w:val="80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 xml:space="preserve"> Learn -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E06666"/>
                <w:sz w:val="40"/>
                <w:szCs w:val="40"/>
              </w:rPr>
              <w:t>Littletown</w:t>
            </w:r>
            <w:proofErr w:type="spellEnd"/>
            <w:r>
              <w:t xml:space="preserve"> </w:t>
            </w:r>
          </w:p>
          <w:p w:rsidR="00F176D9" w:rsidRDefault="00192540">
            <w:pPr>
              <w:widowControl w:val="0"/>
              <w:spacing w:line="240" w:lineRule="auto"/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</w:t>
            </w:r>
            <w:proofErr w:type="spellStart"/>
            <w:r>
              <w:rPr>
                <w:b/>
                <w:sz w:val="40"/>
                <w:szCs w:val="40"/>
              </w:rPr>
              <w:t>Littletown</w:t>
            </w:r>
            <w:proofErr w:type="spellEnd"/>
            <w:r>
              <w:rPr>
                <w:b/>
                <w:sz w:val="40"/>
                <w:szCs w:val="40"/>
              </w:rPr>
              <w:t xml:space="preserve"> Primary Academy </w:t>
            </w:r>
          </w:p>
          <w:p w:rsidR="00F176D9" w:rsidRDefault="001925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Honiton Bottom Road, Honiton, Devon, EX14 2EG</w:t>
            </w:r>
          </w:p>
          <w:p w:rsidR="00F176D9" w:rsidRDefault="0019254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01404 548749</w:t>
            </w:r>
          </w:p>
          <w:p w:rsidR="00F176D9" w:rsidRDefault="00192540">
            <w:pPr>
              <w:widowControl w:val="0"/>
              <w:spacing w:line="240" w:lineRule="auto"/>
              <w:jc w:val="center"/>
              <w:rPr>
                <w:color w:val="0000FF"/>
                <w:sz w:val="20"/>
                <w:szCs w:val="20"/>
                <w:u w:val="single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admin@littletown.devon.sch.uk</w:t>
              </w:r>
            </w:hyperlink>
          </w:p>
          <w:p w:rsidR="00F176D9" w:rsidRDefault="001925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www.littletown.devon.sch.uk</w:t>
              </w:r>
            </w:hyperlink>
          </w:p>
          <w:p w:rsidR="00F176D9" w:rsidRDefault="00F176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76D9" w:rsidRDefault="00192540">
      <w:pPr>
        <w:widowControl w:val="0"/>
        <w:spacing w:line="240" w:lineRule="auto"/>
        <w:ind w:left="720" w:firstLine="720"/>
        <w:rPr>
          <w:rFonts w:ascii="Arial Bold" w:eastAsia="Arial Bold" w:hAnsi="Arial Bold" w:cs="Arial Bold"/>
          <w:sz w:val="48"/>
          <w:szCs w:val="48"/>
        </w:rPr>
      </w:pPr>
      <w:r>
        <w:rPr>
          <w:rFonts w:ascii="Arial Bold" w:eastAsia="Arial Bold" w:hAnsi="Arial Bold" w:cs="Arial Bold"/>
          <w:b/>
          <w:sz w:val="48"/>
          <w:szCs w:val="48"/>
        </w:rPr>
        <w:t xml:space="preserve">             RISK POLICY</w:t>
      </w: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192540">
      <w:pPr>
        <w:widowControl w:val="0"/>
        <w:spacing w:line="240" w:lineRule="auto"/>
        <w:ind w:left="1440" w:firstLine="720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 Bold" w:eastAsia="Arial Bold" w:hAnsi="Arial Bold" w:cs="Arial Bold"/>
          <w:b/>
          <w:sz w:val="20"/>
          <w:szCs w:val="20"/>
        </w:rPr>
        <w:t>This Policy was adopted by the Full Governing Board of</w:t>
      </w:r>
    </w:p>
    <w:p w:rsidR="00F176D9" w:rsidRDefault="00192540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  <w:proofErr w:type="spellStart"/>
      <w:r>
        <w:rPr>
          <w:rFonts w:ascii="Arial Bold" w:eastAsia="Arial Bold" w:hAnsi="Arial Bold" w:cs="Arial Bold"/>
          <w:b/>
          <w:sz w:val="20"/>
          <w:szCs w:val="20"/>
        </w:rPr>
        <w:t>Littletown</w:t>
      </w:r>
      <w:proofErr w:type="spellEnd"/>
      <w:r>
        <w:rPr>
          <w:rFonts w:ascii="Arial Bold" w:eastAsia="Arial Bold" w:hAnsi="Arial Bold" w:cs="Arial Bold"/>
          <w:b/>
          <w:sz w:val="20"/>
          <w:szCs w:val="20"/>
        </w:rPr>
        <w:t xml:space="preserve"> Primary Academy</w:t>
      </w: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192540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 Bold" w:eastAsia="Arial Bold" w:hAnsi="Arial Bold" w:cs="Arial Bold"/>
          <w:b/>
          <w:sz w:val="20"/>
          <w:szCs w:val="20"/>
        </w:rPr>
        <w:t>On 15th November 2022</w:t>
      </w: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192540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  <w:proofErr w:type="gramStart"/>
      <w:r>
        <w:rPr>
          <w:rFonts w:ascii="Arial Bold" w:eastAsia="Arial Bold" w:hAnsi="Arial Bold" w:cs="Arial Bold"/>
          <w:b/>
          <w:sz w:val="20"/>
          <w:szCs w:val="20"/>
        </w:rPr>
        <w:t>signed</w:t>
      </w:r>
      <w:proofErr w:type="gramEnd"/>
      <w:r>
        <w:rPr>
          <w:rFonts w:ascii="Arial Bold" w:eastAsia="Arial Bold" w:hAnsi="Arial Bold" w:cs="Arial Bold"/>
          <w:b/>
          <w:sz w:val="20"/>
          <w:szCs w:val="20"/>
        </w:rPr>
        <w:t>…………………………………………………..</w:t>
      </w:r>
    </w:p>
    <w:p w:rsidR="00F176D9" w:rsidRDefault="00192540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 Bold" w:eastAsia="Arial Bold" w:hAnsi="Arial Bold" w:cs="Arial Bold"/>
          <w:b/>
          <w:sz w:val="20"/>
          <w:szCs w:val="20"/>
        </w:rPr>
        <w:t>(Chair of Governors)</w:t>
      </w: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192540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  <w:r>
        <w:rPr>
          <w:rFonts w:ascii="Arial Bold" w:eastAsia="Arial Bold" w:hAnsi="Arial Bold" w:cs="Arial Bold"/>
          <w:b/>
          <w:sz w:val="20"/>
          <w:szCs w:val="20"/>
        </w:rPr>
        <w:t>Date Policy to be reviewed on:</w:t>
      </w: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F176D9">
      <w:pPr>
        <w:widowControl w:val="0"/>
        <w:spacing w:line="240" w:lineRule="auto"/>
        <w:jc w:val="center"/>
        <w:rPr>
          <w:rFonts w:ascii="Arial Bold" w:eastAsia="Arial Bold" w:hAnsi="Arial Bold" w:cs="Arial Bold"/>
          <w:sz w:val="20"/>
          <w:szCs w:val="20"/>
        </w:rPr>
      </w:pP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Arial Bold" w:eastAsia="Arial Bold" w:hAnsi="Arial Bold" w:cs="Arial Bold"/>
          <w:b/>
          <w:sz w:val="20"/>
          <w:szCs w:val="20"/>
        </w:rPr>
      </w:pPr>
      <w:r>
        <w:rPr>
          <w:rFonts w:ascii="Arial Bold" w:eastAsia="Arial Bold" w:hAnsi="Arial Bold" w:cs="Arial Bold"/>
          <w:b/>
          <w:sz w:val="20"/>
          <w:szCs w:val="20"/>
        </w:rPr>
        <w:t>October 2024</w:t>
      </w: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sz w:val="19"/>
          <w:szCs w:val="19"/>
        </w:rPr>
      </w:pP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62"/>
        <w:rPr>
          <w:rFonts w:ascii="Tahoma" w:eastAsia="Tahoma" w:hAnsi="Tahoma" w:cs="Tahoma"/>
          <w:b/>
          <w:color w:val="000000"/>
          <w:sz w:val="19"/>
          <w:szCs w:val="19"/>
        </w:rPr>
      </w:pPr>
      <w:r>
        <w:rPr>
          <w:rFonts w:ascii="Tahoma" w:eastAsia="Tahoma" w:hAnsi="Tahoma" w:cs="Tahoma"/>
          <w:b/>
          <w:color w:val="000000"/>
          <w:sz w:val="19"/>
          <w:szCs w:val="19"/>
        </w:rPr>
        <w:t xml:space="preserve">RISK POLICY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18"/>
        <w:rPr>
          <w:rFonts w:ascii="Tahoma" w:eastAsia="Tahoma" w:hAnsi="Tahoma" w:cs="Tahoma"/>
          <w:b/>
          <w:color w:val="000000"/>
          <w:sz w:val="19"/>
          <w:szCs w:val="19"/>
        </w:rPr>
      </w:pPr>
      <w:r>
        <w:rPr>
          <w:rFonts w:ascii="Tahoma" w:eastAsia="Tahoma" w:hAnsi="Tahoma" w:cs="Tahoma"/>
          <w:b/>
          <w:color w:val="000000"/>
          <w:sz w:val="19"/>
          <w:szCs w:val="19"/>
        </w:rPr>
        <w:t xml:space="preserve">1.0 Policy 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78" w:lineRule="auto"/>
        <w:ind w:left="5" w:right="836" w:firstLine="16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1.1 For the purposes of this strategy, risk is defined as something that might have a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detrimental  impact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on the achievement of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>’s objectives. Risk</w:t>
      </w:r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Management is defined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as  encouraging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innovation through a managed process, ensuring that tangible and intangible assets are  safeguarded.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left="5" w:right="835" w:firstLine="16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1.2 The aim of risk management is to answer the questions: What could go wrong? What are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we  going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to do about it an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d when?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/>
        <w:ind w:left="5" w:right="832" w:firstLine="16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1.3 The purpose of risk management is to proactively identify what we should be doing in order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to  achieve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our objectives while protecting our staff, pupils, property and reputation from harm.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79" w:lineRule="auto"/>
        <w:ind w:left="6" w:right="825" w:firstLine="15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1.4 The </w:t>
      </w:r>
      <w:r>
        <w:rPr>
          <w:rFonts w:ascii="Tahoma" w:eastAsia="Tahoma" w:hAnsi="Tahoma" w:cs="Tahoma"/>
          <w:sz w:val="19"/>
          <w:szCs w:val="19"/>
        </w:rPr>
        <w:t xml:space="preserve">Academy’s Risk Register outlines what these risks are, how much of a risk they are and what contingencies are currently in place.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21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1.5 Examples of the types of risks which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face include:-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79" w:lineRule="auto"/>
        <w:ind w:right="825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Failure to comply with statutory obligations and regulations such as those covering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the  environment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, health and safety, employment practice, and human rights.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9" w:lineRule="auto"/>
        <w:ind w:right="834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Anything that poses a threat to the achievement of educational objectives, including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 xml:space="preserve">failure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to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take opportunities to improve educational standards within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right="1681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Failing to </w:t>
      </w:r>
      <w:proofErr w:type="spellStart"/>
      <w:r>
        <w:rPr>
          <w:rFonts w:ascii="Tahoma" w:eastAsia="Tahoma" w:hAnsi="Tahoma" w:cs="Tahoma"/>
          <w:sz w:val="19"/>
          <w:szCs w:val="19"/>
        </w:rPr>
        <w:t>fulfill</w:t>
      </w:r>
      <w:proofErr w:type="spellEnd"/>
      <w:r>
        <w:rPr>
          <w:rFonts w:ascii="Tahoma" w:eastAsia="Tahoma" w:hAnsi="Tahoma" w:cs="Tahoma"/>
          <w:color w:val="000000"/>
          <w:sz w:val="19"/>
          <w:szCs w:val="19"/>
        </w:rPr>
        <w:t xml:space="preserve"> its duty of care to those that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comes in to contact with.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/>
        <w:ind w:right="1681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Loss or deterioration of assets above and beyond normal wear and tear.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78" w:lineRule="auto"/>
        <w:ind w:right="833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Anything that could damage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’s reputation and undermine public confidence.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78" w:lineRule="auto"/>
        <w:ind w:right="833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Not protecting the environment from the actions of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itself or from others operating within the boundaries of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left="12" w:right="835" w:firstLine="9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1.6 Risk needs to be managed rathe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r than avoided and consideration of risk should not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stifle  innovative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decision-making.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78" w:lineRule="auto"/>
        <w:ind w:left="5" w:right="827" w:firstLine="16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1.7 In addition to identifying and defining risks associated with the activities of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,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risk  management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is seen as a tool for identifying and assessing oppor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tunities. The </w:t>
      </w:r>
      <w:proofErr w:type="gramStart"/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 recognises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that it works in an increasingly litigious and risk-averse society.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79" w:lineRule="auto"/>
        <w:ind w:left="13" w:right="835" w:firstLine="8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1.8 A consistent approach to risk analysis will be an integral part of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planning and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project  management</w:t>
      </w:r>
      <w:proofErr w:type="gramEnd"/>
      <w:r>
        <w:rPr>
          <w:rFonts w:ascii="Tahoma" w:eastAsia="Tahoma" w:hAnsi="Tahoma" w:cs="Tahoma"/>
          <w:sz w:val="19"/>
          <w:szCs w:val="19"/>
        </w:rPr>
        <w:t>.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79" w:lineRule="auto"/>
        <w:ind w:left="13" w:right="835" w:firstLine="8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1.9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is committed to establishing a systematic and consistent approach to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risk  identification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, analysis and control which: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/>
        <w:ind w:right="835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Embeds risk management as part of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decision making; strategic planning;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and  project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management.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Enables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to del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iver its priorities and services effectively.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Contributes towards the achievement of sustainable improvement.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9" w:lineRule="auto"/>
        <w:ind w:right="1553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Contributes to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discharging its duty of care to pupils and its employees.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Reduces the number and cost of insurance and contractual claims arising.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sz w:val="19"/>
          <w:szCs w:val="19"/>
        </w:rPr>
        <w:t>Minimizes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damage to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>’s reputation.</w:t>
      </w: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4" w:line="240" w:lineRule="auto"/>
        <w:rPr>
          <w:rFonts w:ascii="Calibri" w:eastAsia="Calibri" w:hAnsi="Calibri" w:cs="Calibri"/>
          <w:i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sz w:val="19"/>
          <w:szCs w:val="19"/>
        </w:rPr>
      </w:pP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b/>
          <w:color w:val="000000"/>
          <w:sz w:val="19"/>
          <w:szCs w:val="19"/>
        </w:rPr>
      </w:pPr>
      <w:r>
        <w:rPr>
          <w:rFonts w:ascii="Tahoma" w:eastAsia="Tahoma" w:hAnsi="Tahoma" w:cs="Tahoma"/>
          <w:b/>
          <w:color w:val="000000"/>
          <w:sz w:val="19"/>
          <w:szCs w:val="19"/>
        </w:rPr>
        <w:t xml:space="preserve">2.0 Roles &amp; Responsibilities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79" w:lineRule="auto"/>
        <w:ind w:left="13" w:right="834" w:hanging="2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 xml:space="preserve">2.1 The full Governing Body and the Principal have joint responsibility for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’s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risk  management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direction.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78" w:lineRule="auto"/>
        <w:ind w:left="5" w:right="826" w:firstLine="4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2.2 </w:t>
      </w:r>
      <w:r>
        <w:rPr>
          <w:rFonts w:ascii="Tahoma" w:eastAsia="Tahoma" w:hAnsi="Tahoma" w:cs="Tahoma"/>
          <w:sz w:val="19"/>
          <w:szCs w:val="19"/>
        </w:rPr>
        <w:t xml:space="preserve">The full Governing Body and the Principal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will be responsible for maintaining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’s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Risk  Register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. It will be updated </w:t>
      </w:r>
      <w:r>
        <w:rPr>
          <w:rFonts w:ascii="Tahoma" w:eastAsia="Tahoma" w:hAnsi="Tahoma" w:cs="Tahoma"/>
          <w:sz w:val="19"/>
          <w:szCs w:val="19"/>
        </w:rPr>
        <w:t xml:space="preserve">termly, reported back to </w:t>
      </w:r>
      <w:r>
        <w:rPr>
          <w:rFonts w:ascii="Tahoma" w:eastAsia="Tahoma" w:hAnsi="Tahoma" w:cs="Tahoma"/>
          <w:color w:val="000000"/>
          <w:sz w:val="19"/>
          <w:szCs w:val="19"/>
        </w:rPr>
        <w:t>Governor meetings and made available to Governors</w:t>
      </w:r>
      <w:r>
        <w:rPr>
          <w:rFonts w:ascii="Tahoma" w:eastAsia="Tahoma" w:hAnsi="Tahoma" w:cs="Tahoma"/>
          <w:sz w:val="19"/>
          <w:szCs w:val="19"/>
        </w:rPr>
        <w:t xml:space="preserve">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to  inform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their d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ecision making.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>2.</w:t>
      </w:r>
      <w:r>
        <w:rPr>
          <w:rFonts w:ascii="Tahoma" w:eastAsia="Tahoma" w:hAnsi="Tahoma" w:cs="Tahoma"/>
          <w:sz w:val="19"/>
          <w:szCs w:val="19"/>
        </w:rPr>
        <w:t>3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It is the responsibility of all Governors and staff to consider risks as part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of  their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decision making and day to day activities for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>. This will include highlighting risks</w:t>
      </w:r>
      <w:r>
        <w:rPr>
          <w:rFonts w:ascii="Tahoma" w:eastAsia="Tahoma" w:hAnsi="Tahoma" w:cs="Tahoma"/>
          <w:sz w:val="19"/>
          <w:szCs w:val="19"/>
        </w:rPr>
        <w:t xml:space="preserve"> </w:t>
      </w:r>
      <w:r>
        <w:rPr>
          <w:rFonts w:ascii="Tahoma" w:eastAsia="Tahoma" w:hAnsi="Tahoma" w:cs="Tahoma"/>
          <w:color w:val="000000"/>
          <w:sz w:val="19"/>
          <w:szCs w:val="19"/>
        </w:rPr>
        <w:t>as well as implementing agreed actions.</w:t>
      </w: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right="824"/>
        <w:jc w:val="both"/>
        <w:rPr>
          <w:rFonts w:ascii="Tahoma" w:eastAsia="Tahoma" w:hAnsi="Tahoma" w:cs="Tahoma"/>
          <w:sz w:val="19"/>
          <w:szCs w:val="19"/>
        </w:rPr>
      </w:pP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6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Appendix 1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2633"/>
        <w:rPr>
          <w:rFonts w:ascii="Tahoma" w:eastAsia="Tahoma" w:hAnsi="Tahoma" w:cs="Tahoma"/>
          <w:b/>
          <w:color w:val="000000"/>
          <w:sz w:val="19"/>
          <w:szCs w:val="19"/>
        </w:rPr>
      </w:pPr>
      <w:proofErr w:type="gramStart"/>
      <w:r>
        <w:rPr>
          <w:rFonts w:ascii="Tahoma" w:eastAsia="Tahoma" w:hAnsi="Tahoma" w:cs="Tahoma"/>
          <w:b/>
          <w:color w:val="000000"/>
          <w:sz w:val="19"/>
          <w:szCs w:val="19"/>
        </w:rPr>
        <w:t>RISK  MANAGEMENT</w:t>
      </w:r>
      <w:proofErr w:type="gramEnd"/>
      <w:r>
        <w:rPr>
          <w:rFonts w:ascii="Tahoma" w:eastAsia="Tahoma" w:hAnsi="Tahoma" w:cs="Tahoma"/>
          <w:b/>
          <w:color w:val="000000"/>
          <w:sz w:val="19"/>
          <w:szCs w:val="19"/>
        </w:rPr>
        <w:t xml:space="preserve"> POLICY STATEMENT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2" w:line="278" w:lineRule="auto"/>
        <w:ind w:left="8" w:right="833" w:firstLine="5"/>
        <w:jc w:val="both"/>
        <w:rPr>
          <w:rFonts w:ascii="Tahoma" w:eastAsia="Tahoma" w:hAnsi="Tahoma" w:cs="Tahoma"/>
          <w:color w:val="000000"/>
          <w:sz w:val="19"/>
          <w:szCs w:val="19"/>
        </w:rPr>
      </w:pPr>
      <w:proofErr w:type="spellStart"/>
      <w:r>
        <w:rPr>
          <w:rFonts w:ascii="Tahoma" w:eastAsia="Tahoma" w:hAnsi="Tahoma" w:cs="Tahoma"/>
          <w:sz w:val="19"/>
          <w:szCs w:val="19"/>
        </w:rPr>
        <w:t>Littletown</w:t>
      </w:r>
      <w:proofErr w:type="spellEnd"/>
      <w:r>
        <w:rPr>
          <w:rFonts w:ascii="Tahoma" w:eastAsia="Tahoma" w:hAnsi="Tahoma" w:cs="Tahoma"/>
          <w:sz w:val="19"/>
          <w:szCs w:val="19"/>
        </w:rPr>
        <w:t xml:space="preserve"> Primary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views risk management as an integral part of good corporate governance.  It is essential in order to continue to meet high educational standards, demonstrate Best Value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and  protect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the assets of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>. Risk management is not about totally eliminati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ng risk but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about  identifying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and </w:t>
      </w:r>
      <w:r>
        <w:rPr>
          <w:rFonts w:ascii="Tahoma" w:eastAsia="Tahoma" w:hAnsi="Tahoma" w:cs="Tahoma"/>
          <w:color w:val="000000"/>
          <w:sz w:val="19"/>
          <w:szCs w:val="19"/>
        </w:rPr>
        <w:lastRenderedPageBreak/>
        <w:t xml:space="preserve">understanding risk and therefore managing it more effectively. 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40" w:lineRule="auto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’s risk management objectives are to: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734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Embed risk management into the culture of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734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Comply with statutory obligations.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34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Preserve and enhance the delivery of education within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78" w:lineRule="auto"/>
        <w:ind w:left="734" w:right="829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Safeguard pupils, employees and all other persons to whom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has a duty of care.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Protect its property including buildings, equipment, vehicles and all other assets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and  resources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34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Maintain effective control of public funds.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734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Protect the reputation of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734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Support the quality of the environment.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These objectives will be achieved by: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79" w:lineRule="auto"/>
        <w:ind w:right="828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Establishing clear roles, responsibilities and reporting lines within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for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risk  management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8" w:lineRule="auto"/>
        <w:ind w:right="834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Providing a framework for recording and reviewing potential risks and associated actions.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·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Reinforcing the 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importance of effective risk management by offering training,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good  practice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, and other support.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3" w:line="279" w:lineRule="auto"/>
        <w:ind w:left="1" w:right="837" w:firstLine="6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It is the responsibility of every member of staff of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to have regard for risk in carrying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out  their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 xml:space="preserve"> roles.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80" w:lineRule="auto"/>
        <w:ind w:left="14" w:right="829" w:hanging="8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Governors and the </w:t>
      </w:r>
      <w:r>
        <w:rPr>
          <w:rFonts w:ascii="Tahoma" w:eastAsia="Tahoma" w:hAnsi="Tahoma" w:cs="Tahoma"/>
          <w:sz w:val="19"/>
          <w:szCs w:val="19"/>
        </w:rPr>
        <w:t>Academy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’s </w:t>
      </w:r>
      <w:r>
        <w:rPr>
          <w:rFonts w:ascii="Tahoma" w:eastAsia="Tahoma" w:hAnsi="Tahoma" w:cs="Tahoma"/>
          <w:sz w:val="19"/>
          <w:szCs w:val="19"/>
        </w:rPr>
        <w:t>Senior Leadership Team</w:t>
      </w:r>
      <w:r>
        <w:rPr>
          <w:rFonts w:ascii="Tahoma" w:eastAsia="Tahoma" w:hAnsi="Tahoma" w:cs="Tahoma"/>
          <w:color w:val="000000"/>
          <w:sz w:val="19"/>
          <w:szCs w:val="19"/>
        </w:rPr>
        <w:t xml:space="preserve"> are accountable for implementing </w:t>
      </w:r>
      <w:proofErr w:type="gramStart"/>
      <w:r>
        <w:rPr>
          <w:rFonts w:ascii="Tahoma" w:eastAsia="Tahoma" w:hAnsi="Tahoma" w:cs="Tahoma"/>
          <w:color w:val="000000"/>
          <w:sz w:val="19"/>
          <w:szCs w:val="19"/>
        </w:rPr>
        <w:t>this  Policy</w:t>
      </w:r>
      <w:proofErr w:type="gramEnd"/>
      <w:r>
        <w:rPr>
          <w:rFonts w:ascii="Tahoma" w:eastAsia="Tahoma" w:hAnsi="Tahoma" w:cs="Tahoma"/>
          <w:color w:val="000000"/>
          <w:sz w:val="19"/>
          <w:szCs w:val="19"/>
        </w:rPr>
        <w:t>.</w:t>
      </w: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sz w:val="19"/>
          <w:szCs w:val="19"/>
        </w:rPr>
      </w:pP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7"/>
        <w:jc w:val="right"/>
        <w:rPr>
          <w:rFonts w:ascii="Tahoma" w:eastAsia="Tahoma" w:hAnsi="Tahoma" w:cs="Tahoma"/>
          <w:color w:val="000000"/>
          <w:sz w:val="19"/>
          <w:szCs w:val="19"/>
        </w:rPr>
      </w:pPr>
      <w:r>
        <w:rPr>
          <w:rFonts w:ascii="Tahoma" w:eastAsia="Tahoma" w:hAnsi="Tahoma" w:cs="Tahoma"/>
          <w:color w:val="000000"/>
          <w:sz w:val="19"/>
          <w:szCs w:val="19"/>
        </w:rPr>
        <w:t xml:space="preserve">Appendix 2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3357"/>
        <w:rPr>
          <w:rFonts w:ascii="Calibri" w:eastAsia="Calibri" w:hAnsi="Calibri" w:cs="Calibri"/>
          <w:b/>
          <w:color w:val="000000"/>
          <w:sz w:val="19"/>
          <w:szCs w:val="19"/>
        </w:rPr>
      </w:pPr>
      <w:proofErr w:type="spellStart"/>
      <w:r>
        <w:rPr>
          <w:rFonts w:ascii="Calibri" w:eastAsia="Calibri" w:hAnsi="Calibri" w:cs="Calibri"/>
          <w:b/>
          <w:sz w:val="19"/>
          <w:szCs w:val="19"/>
        </w:rPr>
        <w:t>Littletown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 xml:space="preserve"> Primary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Academy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3837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3731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Risk Scoring Matrix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Table 1 – Likelihood of Occurrence </w:t>
      </w:r>
    </w:p>
    <w:tbl>
      <w:tblPr>
        <w:tblStyle w:val="a0"/>
        <w:tblW w:w="98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720"/>
        <w:gridCol w:w="6201"/>
      </w:tblGrid>
      <w:tr w:rsidR="00F176D9">
        <w:trPr>
          <w:trHeight w:val="340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  <w:t xml:space="preserve">Likelihood of Occurrence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  <w:t xml:space="preserve">Score </w:t>
            </w:r>
          </w:p>
        </w:tc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  <w:t>Description</w:t>
            </w:r>
          </w:p>
        </w:tc>
      </w:tr>
      <w:tr w:rsidR="00F176D9">
        <w:trPr>
          <w:trHeight w:val="324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Almost certain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5 </w:t>
            </w:r>
          </w:p>
        </w:tc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Will undoubtedly happen, possibly frequently</w:t>
            </w:r>
          </w:p>
        </w:tc>
      </w:tr>
      <w:tr w:rsidR="00F176D9">
        <w:trPr>
          <w:trHeight w:val="343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Likely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4 </w:t>
            </w:r>
          </w:p>
        </w:tc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Will probably happen, but not a persistent issue</w:t>
            </w:r>
          </w:p>
        </w:tc>
      </w:tr>
      <w:tr w:rsidR="00F176D9">
        <w:trPr>
          <w:trHeight w:val="323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Possible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May happen occasionally</w:t>
            </w:r>
          </w:p>
        </w:tc>
      </w:tr>
      <w:tr w:rsidR="00F176D9">
        <w:trPr>
          <w:trHeight w:val="343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lastRenderedPageBreak/>
              <w:t xml:space="preserve">Unlikely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Not expected to happen, but is possible</w:t>
            </w:r>
          </w:p>
        </w:tc>
      </w:tr>
      <w:tr w:rsidR="00F176D9">
        <w:trPr>
          <w:trHeight w:val="324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Remote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6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Very unlikely this will ever happen</w:t>
            </w:r>
          </w:p>
        </w:tc>
      </w:tr>
    </w:tbl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Table 2 – Impact of Occurrence</w:t>
      </w:r>
    </w:p>
    <w:tbl>
      <w:tblPr>
        <w:tblStyle w:val="a1"/>
        <w:tblW w:w="9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7"/>
        <w:gridCol w:w="719"/>
        <w:gridCol w:w="1519"/>
        <w:gridCol w:w="1524"/>
        <w:gridCol w:w="1536"/>
        <w:gridCol w:w="1406"/>
        <w:gridCol w:w="1550"/>
      </w:tblGrid>
      <w:tr w:rsidR="00F176D9">
        <w:trPr>
          <w:trHeight w:val="36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  <w:t xml:space="preserve">Impact </w:t>
            </w:r>
          </w:p>
        </w:tc>
        <w:tc>
          <w:tcPr>
            <w:tcW w:w="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  <w:t xml:space="preserve">Score </w:t>
            </w:r>
          </w:p>
        </w:tc>
        <w:tc>
          <w:tcPr>
            <w:tcW w:w="753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  <w:t>Description</w:t>
            </w:r>
          </w:p>
        </w:tc>
      </w:tr>
      <w:tr w:rsidR="00F176D9">
        <w:trPr>
          <w:trHeight w:val="742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F17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</w:p>
        </w:tc>
        <w:tc>
          <w:tcPr>
            <w:tcW w:w="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F17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Impact on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Service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Objectives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Financial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Impact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Impact on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People</w:t>
            </w:r>
          </w:p>
        </w:tc>
        <w:tc>
          <w:tcPr>
            <w:tcW w:w="1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Impact on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Time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Impact on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Reputation</w:t>
            </w:r>
          </w:p>
        </w:tc>
      </w:tr>
      <w:tr w:rsidR="00F176D9">
        <w:trPr>
          <w:trHeight w:val="1231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Catastrophic </w:t>
            </w:r>
          </w:p>
        </w:tc>
        <w:tc>
          <w:tcPr>
            <w:tcW w:w="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5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Unable to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function,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21" w:right="87" w:firstLine="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inability to fulfil  obligations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90" w:hanging="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Severe financial  loss 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Death</w:t>
            </w:r>
          </w:p>
        </w:tc>
        <w:tc>
          <w:tcPr>
            <w:tcW w:w="1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Serious – In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13" w:right="155" w:firstLine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excess of two  years to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recover pre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event position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Highly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damaging,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severe loss of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public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confidence</w:t>
            </w:r>
          </w:p>
        </w:tc>
      </w:tr>
      <w:tr w:rsidR="00F176D9">
        <w:trPr>
          <w:trHeight w:val="1476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Major </w:t>
            </w:r>
          </w:p>
        </w:tc>
        <w:tc>
          <w:tcPr>
            <w:tcW w:w="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Significant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impact on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service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provision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5" w:right="150" w:firstLine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Major financial  loss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Extensive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injury, major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permanent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harm</w:t>
            </w:r>
          </w:p>
        </w:tc>
        <w:tc>
          <w:tcPr>
            <w:tcW w:w="1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Major –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Between 1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13" w:right="12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year – 2 years  to recover to  pre event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position 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7" w:right="124" w:firstLine="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Major adverse  publicity, major  loss of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confidence</w:t>
            </w:r>
          </w:p>
        </w:tc>
      </w:tr>
      <w:tr w:rsidR="00F176D9">
        <w:trPr>
          <w:trHeight w:val="1473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Moderate </w:t>
            </w:r>
          </w:p>
        </w:tc>
        <w:tc>
          <w:tcPr>
            <w:tcW w:w="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Service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objectives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partially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achievable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Significant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financial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Medical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treatment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27" w:right="19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required,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semi permanent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harm up to 1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year</w:t>
            </w:r>
          </w:p>
        </w:tc>
        <w:tc>
          <w:tcPr>
            <w:tcW w:w="1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9" w:right="191" w:firstLine="1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Considerable  – between 6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months to 1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year to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119" w:right="98" w:firstLine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recover to pre  event position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5" w:right="222" w:hanging="5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Some adverse  publicity, legal  implications</w:t>
            </w:r>
          </w:p>
        </w:tc>
      </w:tr>
      <w:tr w:rsidR="00F176D9">
        <w:trPr>
          <w:trHeight w:val="1231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Minor </w:t>
            </w:r>
          </w:p>
        </w:tc>
        <w:tc>
          <w:tcPr>
            <w:tcW w:w="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Minor impact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on service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objectives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Moderate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financial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First aid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7" w:right="128" w:hanging="11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treatment,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non permanent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harm up to 1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month</w:t>
            </w:r>
          </w:p>
        </w:tc>
        <w:tc>
          <w:tcPr>
            <w:tcW w:w="1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Some 2-6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months to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recover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Some public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7" w:right="62" w:hanging="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embarrassment,  no damage to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reputation</w:t>
            </w:r>
          </w:p>
        </w:tc>
      </w:tr>
      <w:tr w:rsidR="00F176D9">
        <w:trPr>
          <w:trHeight w:val="986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None </w:t>
            </w:r>
          </w:p>
        </w:tc>
        <w:tc>
          <w:tcPr>
            <w:tcW w:w="7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5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Minimal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impact, no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service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disruption</w:t>
            </w:r>
          </w:p>
        </w:tc>
        <w:tc>
          <w:tcPr>
            <w:tcW w:w="1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Minimal loss </w:t>
            </w:r>
          </w:p>
        </w:tc>
        <w:tc>
          <w:tcPr>
            <w:tcW w:w="1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No obvious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harm/injury</w:t>
            </w:r>
          </w:p>
        </w:tc>
        <w:tc>
          <w:tcPr>
            <w:tcW w:w="1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183" w:firstLine="1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Minimal – up  to 2 months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to recover</w:t>
            </w:r>
          </w:p>
        </w:tc>
        <w:tc>
          <w:tcPr>
            <w:tcW w:w="1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No interest to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the press,  </w:t>
            </w:r>
          </w:p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internal only</w:t>
            </w:r>
          </w:p>
        </w:tc>
      </w:tr>
    </w:tbl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Risk Register Policy Statement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6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Table 3 – Risk Matrix </w:t>
      </w:r>
    </w:p>
    <w:tbl>
      <w:tblPr>
        <w:tblStyle w:val="a2"/>
        <w:tblW w:w="9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6"/>
        <w:gridCol w:w="1417"/>
        <w:gridCol w:w="1700"/>
        <w:gridCol w:w="1691"/>
        <w:gridCol w:w="1664"/>
        <w:gridCol w:w="1753"/>
      </w:tblGrid>
      <w:tr w:rsidR="00F176D9">
        <w:trPr>
          <w:trHeight w:val="302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F17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822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  <w:t>Impact</w:t>
            </w:r>
          </w:p>
        </w:tc>
      </w:tr>
      <w:tr w:rsidR="00F176D9">
        <w:trPr>
          <w:trHeight w:val="410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9"/>
                <w:szCs w:val="19"/>
                <w:shd w:val="clear" w:color="auto" w:fill="A6A6A6"/>
              </w:rPr>
              <w:t xml:space="preserve">Likelihood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None (1)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Minor (2) </w:t>
            </w: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Moderate (3) </w:t>
            </w:r>
          </w:p>
        </w:tc>
        <w:tc>
          <w:tcPr>
            <w:tcW w:w="1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Major (4)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Catastrophic (5)</w:t>
            </w:r>
          </w:p>
        </w:tc>
      </w:tr>
      <w:tr w:rsidR="00F176D9">
        <w:trPr>
          <w:trHeight w:val="432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Almost certain (5)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 xml:space="preserve">5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  <w:t xml:space="preserve">10 </w:t>
            </w: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  <w:t xml:space="preserve">15 </w:t>
            </w:r>
          </w:p>
        </w:tc>
        <w:tc>
          <w:tcPr>
            <w:tcW w:w="1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  <w:t xml:space="preserve">20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  <w:t>25</w:t>
            </w:r>
          </w:p>
        </w:tc>
      </w:tr>
      <w:tr w:rsidR="00F176D9">
        <w:trPr>
          <w:trHeight w:val="407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Likely (4)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 xml:space="preserve">4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  <w:t xml:space="preserve">8 </w:t>
            </w: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  <w:t xml:space="preserve">12 </w:t>
            </w:r>
          </w:p>
        </w:tc>
        <w:tc>
          <w:tcPr>
            <w:tcW w:w="1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  <w:t xml:space="preserve">16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  <w:t>20</w:t>
            </w:r>
          </w:p>
        </w:tc>
      </w:tr>
      <w:tr w:rsidR="00F176D9">
        <w:trPr>
          <w:trHeight w:val="432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Possible (3)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 xml:space="preserve">3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  <w:t xml:space="preserve">6 </w:t>
            </w: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  <w:t xml:space="preserve">9 </w:t>
            </w:r>
          </w:p>
        </w:tc>
        <w:tc>
          <w:tcPr>
            <w:tcW w:w="1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  <w:t xml:space="preserve">12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highlight w:val="red"/>
              </w:rPr>
              <w:t>15</w:t>
            </w:r>
          </w:p>
        </w:tc>
      </w:tr>
      <w:tr w:rsidR="00F176D9">
        <w:trPr>
          <w:trHeight w:val="410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Unlikely (2)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 xml:space="preserve">2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 xml:space="preserve">4 </w:t>
            </w: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  <w:t xml:space="preserve">6 </w:t>
            </w:r>
          </w:p>
        </w:tc>
        <w:tc>
          <w:tcPr>
            <w:tcW w:w="1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  <w:t xml:space="preserve">8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FFC000"/>
              </w:rPr>
              <w:t>10</w:t>
            </w:r>
          </w:p>
        </w:tc>
      </w:tr>
      <w:tr w:rsidR="00F176D9">
        <w:trPr>
          <w:trHeight w:val="431"/>
        </w:trPr>
        <w:tc>
          <w:tcPr>
            <w:tcW w:w="1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Remote (1) 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 xml:space="preserve">1 </w:t>
            </w:r>
          </w:p>
        </w:tc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 xml:space="preserve">2 </w:t>
            </w:r>
          </w:p>
        </w:tc>
        <w:tc>
          <w:tcPr>
            <w:tcW w:w="1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 xml:space="preserve">3 </w:t>
            </w:r>
          </w:p>
        </w:tc>
        <w:tc>
          <w:tcPr>
            <w:tcW w:w="1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 xml:space="preserve">4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76D9" w:rsidRDefault="00192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  <w:shd w:val="clear" w:color="auto" w:fill="00B050"/>
              </w:rPr>
              <w:t>5</w:t>
            </w:r>
          </w:p>
        </w:tc>
      </w:tr>
    </w:tbl>
    <w:p w:rsidR="00F176D9" w:rsidRDefault="00F176D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1-5 Low 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8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6-12 Medium </w:t>
      </w:r>
    </w:p>
    <w:p w:rsidR="00F176D9" w:rsidRDefault="0019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15-25 Hi</w:t>
      </w:r>
      <w:r>
        <w:rPr>
          <w:rFonts w:ascii="Calibri" w:eastAsia="Calibri" w:hAnsi="Calibri" w:cs="Calibri"/>
          <w:b/>
          <w:sz w:val="19"/>
          <w:szCs w:val="19"/>
        </w:rPr>
        <w:t>gh</w:t>
      </w:r>
    </w:p>
    <w:sectPr w:rsidR="00F176D9">
      <w:type w:val="continuous"/>
      <w:pgSz w:w="11900" w:h="16820"/>
      <w:pgMar w:top="1440" w:right="544" w:bottom="1027" w:left="1440" w:header="0" w:footer="720" w:gutter="0"/>
      <w:cols w:space="720" w:equalWidth="0">
        <w:col w:w="991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2540">
      <w:pPr>
        <w:spacing w:line="240" w:lineRule="auto"/>
      </w:pPr>
      <w:r>
        <w:separator/>
      </w:r>
    </w:p>
  </w:endnote>
  <w:endnote w:type="continuationSeparator" w:id="0">
    <w:p w:rsidR="00000000" w:rsidRDefault="00192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2540">
      <w:pPr>
        <w:spacing w:line="240" w:lineRule="auto"/>
      </w:pPr>
      <w:r>
        <w:separator/>
      </w:r>
    </w:p>
  </w:footnote>
  <w:footnote w:type="continuationSeparator" w:id="0">
    <w:p w:rsidR="00000000" w:rsidRDefault="00192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D9" w:rsidRDefault="00F176D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D9"/>
    <w:rsid w:val="00192540"/>
    <w:rsid w:val="00F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E7D26-9876-42B1-97C8-2B9C29F3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ittletown.devon.sch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littletown.devon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JRawlins</dc:creator>
  <cp:lastModifiedBy>Jenny Rawlins</cp:lastModifiedBy>
  <cp:revision>2</cp:revision>
  <dcterms:created xsi:type="dcterms:W3CDTF">2022-11-03T15:37:00Z</dcterms:created>
  <dcterms:modified xsi:type="dcterms:W3CDTF">2022-11-03T15:37:00Z</dcterms:modified>
</cp:coreProperties>
</file>